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B35" w:rsidRDefault="00A15B35">
      <w:pPr>
        <w:rPr>
          <w:rFonts w:ascii="Times New Roman" w:hAnsi="Times New Roman" w:cs="Times New Roman"/>
          <w:sz w:val="24"/>
          <w:szCs w:val="24"/>
        </w:rPr>
      </w:pPr>
    </w:p>
    <w:p w:rsidR="00261E08" w:rsidRPr="00490067" w:rsidRDefault="00490067" w:rsidP="00490067">
      <w:pPr>
        <w:pStyle w:val="Header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Case-by-Case NOx RACT Requirement Checklist</w:t>
      </w:r>
      <w:bookmarkStart w:id="0" w:name="_GoBack"/>
      <w:bookmarkEnd w:id="0"/>
    </w:p>
    <w:tbl>
      <w:tblPr>
        <w:tblStyle w:val="TableGrid"/>
        <w:tblW w:w="13315" w:type="dxa"/>
        <w:jc w:val="center"/>
        <w:tblLook w:val="04A0" w:firstRow="1" w:lastRow="0" w:firstColumn="1" w:lastColumn="0" w:noHBand="0" w:noVBand="1"/>
      </w:tblPr>
      <w:tblGrid>
        <w:gridCol w:w="1525"/>
        <w:gridCol w:w="6390"/>
        <w:gridCol w:w="5400"/>
      </w:tblGrid>
      <w:tr w:rsidR="00501B9D" w:rsidRPr="00501B9D" w:rsidTr="00BF5E48">
        <w:trPr>
          <w:tblHeader/>
          <w:jc w:val="center"/>
        </w:trPr>
        <w:tc>
          <w:tcPr>
            <w:tcW w:w="1525" w:type="dxa"/>
            <w:vAlign w:val="center"/>
          </w:tcPr>
          <w:p w:rsidR="00501B9D" w:rsidRPr="00261E08" w:rsidRDefault="00501B9D" w:rsidP="002E5499">
            <w:pPr>
              <w:rPr>
                <w:rFonts w:ascii="Times New Roman" w:hAnsi="Times New Roman" w:cs="Times New Roman"/>
                <w:b/>
              </w:rPr>
            </w:pPr>
            <w:r w:rsidRPr="00261E08">
              <w:rPr>
                <w:rFonts w:ascii="Times New Roman" w:hAnsi="Times New Roman" w:cs="Times New Roman"/>
                <w:b/>
              </w:rPr>
              <w:t>§22a-174-</w:t>
            </w:r>
            <w:r w:rsidR="00261E08" w:rsidRPr="00261E08">
              <w:rPr>
                <w:rFonts w:ascii="Times New Roman" w:hAnsi="Times New Roman" w:cs="Times New Roman"/>
                <w:b/>
              </w:rPr>
              <w:t>22e</w:t>
            </w:r>
          </w:p>
        </w:tc>
        <w:tc>
          <w:tcPr>
            <w:tcW w:w="6390" w:type="dxa"/>
            <w:vAlign w:val="center"/>
          </w:tcPr>
          <w:p w:rsidR="00501B9D" w:rsidRPr="00501B9D" w:rsidRDefault="00501B9D" w:rsidP="002E5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9D">
              <w:rPr>
                <w:rFonts w:ascii="Times New Roman" w:hAnsi="Times New Roman" w:cs="Times New Roman"/>
                <w:b/>
                <w:sz w:val="24"/>
                <w:szCs w:val="24"/>
              </w:rPr>
              <w:t>Regulatory Requirement</w:t>
            </w:r>
          </w:p>
        </w:tc>
        <w:tc>
          <w:tcPr>
            <w:tcW w:w="5400" w:type="dxa"/>
            <w:vAlign w:val="center"/>
          </w:tcPr>
          <w:p w:rsidR="00501B9D" w:rsidRPr="00501B9D" w:rsidRDefault="00501B9D" w:rsidP="002E5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499" w:rsidRPr="006C4B3A" w:rsidTr="003F05E9">
        <w:trPr>
          <w:trHeight w:val="953"/>
          <w:jc w:val="center"/>
        </w:trPr>
        <w:tc>
          <w:tcPr>
            <w:tcW w:w="1525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3A">
              <w:rPr>
                <w:rFonts w:ascii="Times New Roman" w:hAnsi="Times New Roman" w:cs="Times New Roman"/>
                <w:sz w:val="24"/>
                <w:szCs w:val="24"/>
              </w:rPr>
              <w:t>(h)(1)(A)</w:t>
            </w:r>
          </w:p>
        </w:tc>
        <w:tc>
          <w:tcPr>
            <w:tcW w:w="6390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3A">
              <w:rPr>
                <w:rFonts w:ascii="Times New Roman" w:hAnsi="Times New Roman" w:cs="Times New Roman"/>
                <w:sz w:val="24"/>
                <w:szCs w:val="24"/>
              </w:rPr>
              <w:t>Demonstrate that available emissions control technology and subsection (g) compliance options are either technologically or economically infeasible</w:t>
            </w:r>
          </w:p>
        </w:tc>
        <w:tc>
          <w:tcPr>
            <w:tcW w:w="5400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99" w:rsidRPr="006C4B3A" w:rsidTr="003F05E9">
        <w:trPr>
          <w:trHeight w:val="980"/>
          <w:jc w:val="center"/>
        </w:trPr>
        <w:tc>
          <w:tcPr>
            <w:tcW w:w="1525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3A">
              <w:rPr>
                <w:rFonts w:ascii="Times New Roman" w:hAnsi="Times New Roman" w:cs="Times New Roman"/>
                <w:sz w:val="24"/>
                <w:szCs w:val="24"/>
              </w:rPr>
              <w:t>(h)(1)(B)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3A">
              <w:rPr>
                <w:rFonts w:ascii="Times New Roman" w:hAnsi="Times New Roman" w:cs="Times New Roman"/>
                <w:sz w:val="24"/>
                <w:szCs w:val="24"/>
              </w:rPr>
              <w:t xml:space="preserve">Recommend a case-by-case RACT emissions limitation that represents the lowest emissions limitation reasonable for the emission unit and additional NOx reduction actions. 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99" w:rsidRPr="006C4B3A" w:rsidTr="003F05E9">
        <w:trPr>
          <w:trHeight w:val="1340"/>
          <w:jc w:val="center"/>
        </w:trPr>
        <w:tc>
          <w:tcPr>
            <w:tcW w:w="1525" w:type="dxa"/>
            <w:vMerge w:val="restart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3A">
              <w:rPr>
                <w:rFonts w:ascii="Times New Roman" w:hAnsi="Times New Roman" w:cs="Times New Roman"/>
                <w:sz w:val="24"/>
                <w:szCs w:val="24"/>
              </w:rPr>
              <w:t>(h)(1)(C)</w:t>
            </w:r>
          </w:p>
        </w:tc>
        <w:tc>
          <w:tcPr>
            <w:tcW w:w="6390" w:type="dxa"/>
            <w:tcBorders>
              <w:bottom w:val="nil"/>
            </w:tcBorders>
            <w:vAlign w:val="center"/>
          </w:tcPr>
          <w:p w:rsidR="002E5499" w:rsidRPr="00E1702B" w:rsidRDefault="002E5499" w:rsidP="003F05E9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C4B3A">
              <w:rPr>
                <w:rFonts w:ascii="Times New Roman" w:hAnsi="Times New Roman" w:cs="Times New Roman"/>
                <w:sz w:val="24"/>
                <w:szCs w:val="24"/>
              </w:rPr>
              <w:t>Calculate the NOx emission reduction achievable by implementation of the recommended emissions limitation and additional actions.</w:t>
            </w:r>
            <w:r w:rsidRPr="00E17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  <w:tcBorders>
              <w:bottom w:val="nil"/>
            </w:tcBorders>
            <w:vAlign w:val="center"/>
          </w:tcPr>
          <w:p w:rsidR="002E5499" w:rsidRPr="006C4B3A" w:rsidRDefault="002E5499" w:rsidP="002E549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99" w:rsidRPr="006C4B3A" w:rsidTr="003F05E9">
        <w:trPr>
          <w:trHeight w:val="1340"/>
          <w:jc w:val="center"/>
        </w:trPr>
        <w:tc>
          <w:tcPr>
            <w:tcW w:w="1525" w:type="dxa"/>
            <w:vMerge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bottom w:val="nil"/>
            </w:tcBorders>
            <w:vAlign w:val="center"/>
          </w:tcPr>
          <w:p w:rsidR="002E5499" w:rsidRPr="006C4B3A" w:rsidRDefault="002E5499" w:rsidP="003F05E9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C4B3A">
              <w:rPr>
                <w:rFonts w:ascii="Times New Roman" w:hAnsi="Times New Roman" w:cs="Times New Roman"/>
                <w:sz w:val="24"/>
                <w:szCs w:val="24"/>
              </w:rPr>
              <w:t>Calculate the NOx emissions reductions that would have occurred if the emission unit complied with the emissions limitations in subsection (d).</w:t>
            </w:r>
          </w:p>
          <w:p w:rsidR="002E5499" w:rsidRPr="00E1702B" w:rsidRDefault="002E5499" w:rsidP="003F05E9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bottom w:val="nil"/>
            </w:tcBorders>
            <w:vAlign w:val="center"/>
          </w:tcPr>
          <w:p w:rsidR="002E5499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99" w:rsidRPr="006C4B3A" w:rsidTr="003F05E9">
        <w:trPr>
          <w:jc w:val="center"/>
        </w:trPr>
        <w:tc>
          <w:tcPr>
            <w:tcW w:w="1525" w:type="dxa"/>
            <w:vMerge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</w:tcBorders>
            <w:vAlign w:val="center"/>
          </w:tcPr>
          <w:p w:rsidR="002E5499" w:rsidRPr="006C4B3A" w:rsidRDefault="002E5499" w:rsidP="003F05E9">
            <w:pPr>
              <w:pStyle w:val="ListParagraph"/>
              <w:numPr>
                <w:ilvl w:val="0"/>
                <w:numId w:val="1"/>
              </w:numPr>
              <w:spacing w:after="120"/>
              <w:ind w:left="260" w:hanging="27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B3A">
              <w:rPr>
                <w:rFonts w:ascii="Times New Roman" w:hAnsi="Times New Roman" w:cs="Times New Roman"/>
                <w:sz w:val="24"/>
                <w:szCs w:val="24"/>
              </w:rPr>
              <w:t>Compare</w:t>
            </w:r>
          </w:p>
        </w:tc>
        <w:tc>
          <w:tcPr>
            <w:tcW w:w="5400" w:type="dxa"/>
            <w:tcBorders>
              <w:top w:val="nil"/>
            </w:tcBorders>
            <w:vAlign w:val="center"/>
          </w:tcPr>
          <w:p w:rsidR="002E5499" w:rsidRDefault="002E5499" w:rsidP="002E5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499" w:rsidRPr="006C4B3A" w:rsidTr="003F05E9">
        <w:trPr>
          <w:trHeight w:val="683"/>
          <w:jc w:val="center"/>
        </w:trPr>
        <w:tc>
          <w:tcPr>
            <w:tcW w:w="1525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3A">
              <w:rPr>
                <w:rFonts w:ascii="Times New Roman" w:hAnsi="Times New Roman" w:cs="Times New Roman"/>
                <w:sz w:val="24"/>
                <w:szCs w:val="24"/>
              </w:rPr>
              <w:t>(h)(2)</w:t>
            </w:r>
          </w:p>
        </w:tc>
        <w:tc>
          <w:tcPr>
            <w:tcW w:w="6390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3A">
              <w:rPr>
                <w:rFonts w:ascii="Times New Roman" w:hAnsi="Times New Roman" w:cs="Times New Roman"/>
                <w:sz w:val="24"/>
                <w:szCs w:val="24"/>
              </w:rPr>
              <w:t>Submit request by January 1, 2021 for a Phase 2 emissions limitation.</w:t>
            </w:r>
          </w:p>
        </w:tc>
        <w:tc>
          <w:tcPr>
            <w:tcW w:w="5400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99" w:rsidRPr="006C4B3A" w:rsidTr="003F05E9">
        <w:trPr>
          <w:trHeight w:val="935"/>
          <w:jc w:val="center"/>
        </w:trPr>
        <w:tc>
          <w:tcPr>
            <w:tcW w:w="1525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3A">
              <w:rPr>
                <w:rFonts w:ascii="Times New Roman" w:hAnsi="Times New Roman" w:cs="Times New Roman"/>
                <w:sz w:val="24"/>
                <w:szCs w:val="24"/>
              </w:rPr>
              <w:t>(h)(3)</w:t>
            </w:r>
          </w:p>
        </w:tc>
        <w:tc>
          <w:tcPr>
            <w:tcW w:w="6390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 xml:space="preserve">A case-by-case RACT emissions limitation or additional actions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 xml:space="preserve"> be established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 xml:space="preserve">in a permit or order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submitted to EPA for approval.</w:t>
            </w:r>
          </w:p>
        </w:tc>
        <w:tc>
          <w:tcPr>
            <w:tcW w:w="5400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99" w:rsidRPr="006C4B3A" w:rsidTr="00BF5E48">
        <w:trPr>
          <w:trHeight w:val="413"/>
          <w:jc w:val="center"/>
        </w:trPr>
        <w:tc>
          <w:tcPr>
            <w:tcW w:w="1525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3A">
              <w:rPr>
                <w:rFonts w:ascii="Times New Roman" w:hAnsi="Times New Roman" w:cs="Times New Roman"/>
                <w:sz w:val="24"/>
                <w:szCs w:val="24"/>
              </w:rPr>
              <w:t>(h)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6C4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90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 xml:space="preserve">ase-by-case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NOx RACT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 xml:space="preserve"> expire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 xml:space="preserve"> no later than May 1, 2028</w:t>
            </w:r>
          </w:p>
        </w:tc>
        <w:tc>
          <w:tcPr>
            <w:tcW w:w="5400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99" w:rsidRPr="006C4B3A" w:rsidTr="003F05E9">
        <w:trPr>
          <w:trHeight w:val="1457"/>
          <w:jc w:val="center"/>
        </w:trPr>
        <w:tc>
          <w:tcPr>
            <w:tcW w:w="1525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3A">
              <w:rPr>
                <w:rFonts w:ascii="Times New Roman" w:hAnsi="Times New Roman" w:cs="Times New Roman"/>
                <w:sz w:val="24"/>
                <w:szCs w:val="24"/>
              </w:rPr>
              <w:t>(h)(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4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90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Imposition of a limit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 xml:space="preserve"> on the potent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ial NOx emissions or limit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 xml:space="preserve"> on fuel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use, raw materials processed or hours of operation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 be requested concurrently with 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request for a case-by-case RACT determination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The limitation can be imposed in the same order as 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case-by-case RACT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determination.</w:t>
            </w:r>
          </w:p>
        </w:tc>
        <w:tc>
          <w:tcPr>
            <w:tcW w:w="5400" w:type="dxa"/>
            <w:vAlign w:val="center"/>
          </w:tcPr>
          <w:p w:rsidR="002E5499" w:rsidRPr="006C4B3A" w:rsidRDefault="002E5499" w:rsidP="002E5499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99" w:rsidRPr="006C4B3A" w:rsidTr="003F05E9">
        <w:trPr>
          <w:trHeight w:val="692"/>
          <w:jc w:val="center"/>
        </w:trPr>
        <w:tc>
          <w:tcPr>
            <w:tcW w:w="1525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(h)(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90" w:type="dxa"/>
            <w:vAlign w:val="center"/>
          </w:tcPr>
          <w:p w:rsidR="002E5499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 xml:space="preserve">A request for a case-by-case RACT determination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 xml:space="preserve"> be made on forms prescribed by the comm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issioner.</w:t>
            </w:r>
          </w:p>
          <w:p w:rsidR="00A06648" w:rsidRPr="006C4B3A" w:rsidRDefault="00490067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06648">
                <w:rPr>
                  <w:rStyle w:val="Hyperlink"/>
                </w:rPr>
                <w:t>https://portal.ct.gov/DEEP/Air/Compliance-Assurance/Air-Compliance-Assurance---Forms</w:t>
              </w:r>
            </w:hyperlink>
          </w:p>
        </w:tc>
        <w:tc>
          <w:tcPr>
            <w:tcW w:w="5400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99" w:rsidRPr="006C4B3A" w:rsidTr="003F05E9">
        <w:trPr>
          <w:trHeight w:val="710"/>
          <w:jc w:val="center"/>
        </w:trPr>
        <w:tc>
          <w:tcPr>
            <w:tcW w:w="1525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3A">
              <w:rPr>
                <w:rFonts w:ascii="Times New Roman" w:hAnsi="Times New Roman" w:cs="Times New Roman"/>
                <w:sz w:val="24"/>
                <w:szCs w:val="24"/>
              </w:rPr>
              <w:t>(h)(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6390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Identify all NOx emission control alternatives available for use on the emission unit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 xml:space="preserve">that is the subject of the demonstration. </w:t>
            </w:r>
          </w:p>
        </w:tc>
        <w:tc>
          <w:tcPr>
            <w:tcW w:w="5400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99" w:rsidRPr="006C4B3A" w:rsidTr="003F05E9">
        <w:trPr>
          <w:trHeight w:val="890"/>
          <w:jc w:val="center"/>
        </w:trPr>
        <w:tc>
          <w:tcPr>
            <w:tcW w:w="1525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3A">
              <w:rPr>
                <w:rFonts w:ascii="Times New Roman" w:hAnsi="Times New Roman" w:cs="Times New Roman"/>
                <w:sz w:val="24"/>
                <w:szCs w:val="24"/>
              </w:rPr>
              <w:t>(h)(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6390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Eliminate infeasible options from further consideration after identifying the physical,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chemical or engineering circumstance that would preclud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successful use of the control 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option;</w:t>
            </w:r>
          </w:p>
        </w:tc>
        <w:tc>
          <w:tcPr>
            <w:tcW w:w="5400" w:type="dxa"/>
            <w:vAlign w:val="center"/>
          </w:tcPr>
          <w:p w:rsidR="00DD6D2D" w:rsidRPr="006C4B3A" w:rsidRDefault="00DD6D2D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99" w:rsidRPr="006C4B3A" w:rsidTr="003F05E9">
        <w:trPr>
          <w:trHeight w:val="1880"/>
          <w:jc w:val="center"/>
        </w:trPr>
        <w:tc>
          <w:tcPr>
            <w:tcW w:w="1525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3A">
              <w:rPr>
                <w:rFonts w:ascii="Times New Roman" w:hAnsi="Times New Roman" w:cs="Times New Roman"/>
                <w:sz w:val="24"/>
                <w:szCs w:val="24"/>
              </w:rPr>
              <w:t>(h)(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6390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Evaluate the control effectiveness of feasible alternatives in terms of NOx emissions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reduced based on the potential emissions of the emission unit prior to use of the control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alternative or the proposed emissions associated with the limitation requested pursuant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subdivision (5) of this subsection;</w:t>
            </w:r>
          </w:p>
        </w:tc>
        <w:tc>
          <w:tcPr>
            <w:tcW w:w="5400" w:type="dxa"/>
            <w:vAlign w:val="center"/>
          </w:tcPr>
          <w:p w:rsidR="00643FE1" w:rsidRPr="00643FE1" w:rsidRDefault="00643FE1" w:rsidP="008334DB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499" w:rsidRPr="006C4B3A" w:rsidTr="003F05E9">
        <w:trPr>
          <w:trHeight w:val="2330"/>
          <w:jc w:val="center"/>
        </w:trPr>
        <w:tc>
          <w:tcPr>
            <w:tcW w:w="1525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3A">
              <w:rPr>
                <w:rFonts w:ascii="Times New Roman" w:hAnsi="Times New Roman" w:cs="Times New Roman"/>
                <w:sz w:val="24"/>
                <w:szCs w:val="24"/>
              </w:rPr>
              <w:t>(h)(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6390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Evaluate the cost of each feasible control alternative using a method approved 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the commissioner. Cost shall be evaluated on an annual basis (8760 hours/year) at full load,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unless the operation of the emission unit is subject to a practicably enforceable limitation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in existence prior to the submission of the case-by-case RACT demonstration or the owner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or operator has requested a limitation on NOx emissions or unit operation in accordance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with subdivision (5) of this subsection;</w:t>
            </w:r>
          </w:p>
        </w:tc>
        <w:tc>
          <w:tcPr>
            <w:tcW w:w="5400" w:type="dxa"/>
            <w:vAlign w:val="center"/>
          </w:tcPr>
          <w:p w:rsidR="00643FE1" w:rsidRPr="00643FE1" w:rsidRDefault="00643FE1" w:rsidP="008334DB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499" w:rsidRPr="006C4B3A" w:rsidTr="00BF5E48">
        <w:trPr>
          <w:jc w:val="center"/>
        </w:trPr>
        <w:tc>
          <w:tcPr>
            <w:tcW w:w="1525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3A">
              <w:rPr>
                <w:rFonts w:ascii="Times New Roman" w:hAnsi="Times New Roman" w:cs="Times New Roman"/>
                <w:sz w:val="24"/>
                <w:szCs w:val="24"/>
              </w:rPr>
              <w:t>(h)(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6390" w:type="dxa"/>
            <w:vAlign w:val="center"/>
          </w:tcPr>
          <w:p w:rsidR="002E5499" w:rsidRPr="00E35312" w:rsidRDefault="002E5499" w:rsidP="002E5499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Evaluate the cost effectiveness of each feasible control alternative on an annual basis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as the cost in US dollars per ton of NOx reduced ($/ton), where NOx emissions prior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control and after control are based on either:</w:t>
            </w:r>
          </w:p>
          <w:p w:rsidR="002E5499" w:rsidRPr="00E35312" w:rsidRDefault="002E5499" w:rsidP="002E5499">
            <w:pPr>
              <w:ind w:left="458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) The potential NOx emissions of the emission unit, as limited by any practicably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enforceable conditions in existence prior to the submission of the case-by-case RACT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demonstration, or</w:t>
            </w:r>
          </w:p>
          <w:p w:rsidR="002E5499" w:rsidRPr="006C4B3A" w:rsidRDefault="002E5499" w:rsidP="002E5499">
            <w:pPr>
              <w:ind w:left="458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(ii) The proposed NOx emissions of the emission unit based on a proposed limitation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submitted in accordance with subd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ivision (5) of this subsection.</w:t>
            </w:r>
          </w:p>
        </w:tc>
        <w:tc>
          <w:tcPr>
            <w:tcW w:w="5400" w:type="dxa"/>
            <w:vAlign w:val="center"/>
          </w:tcPr>
          <w:p w:rsidR="008334DB" w:rsidRPr="006C4B3A" w:rsidRDefault="008334DB" w:rsidP="008334DB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99" w:rsidRPr="006C4B3A" w:rsidTr="003F05E9">
        <w:trPr>
          <w:trHeight w:val="962"/>
          <w:jc w:val="center"/>
        </w:trPr>
        <w:tc>
          <w:tcPr>
            <w:tcW w:w="1525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(h)(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4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90" w:type="dxa"/>
            <w:vAlign w:val="center"/>
          </w:tcPr>
          <w:p w:rsidR="002E5499" w:rsidRPr="006C4B3A" w:rsidRDefault="002E5499" w:rsidP="003F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 xml:space="preserve">The case-by-case RACT determination </w:t>
            </w:r>
            <w:r w:rsidR="003F05E9">
              <w:rPr>
                <w:rFonts w:ascii="Times New Roman" w:hAnsi="Times New Roman" w:cs="Times New Roman"/>
                <w:sz w:val="24"/>
                <w:szCs w:val="24"/>
              </w:rPr>
              <w:t>cannot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 xml:space="preserve"> be less stringent than the lowest NOx emission rate achievable from the emission unit using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 xml:space="preserve">cost effective control alternative. </w:t>
            </w:r>
          </w:p>
        </w:tc>
        <w:tc>
          <w:tcPr>
            <w:tcW w:w="5400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99" w:rsidRPr="006C4B3A" w:rsidTr="003F05E9">
        <w:trPr>
          <w:trHeight w:val="1160"/>
          <w:jc w:val="center"/>
        </w:trPr>
        <w:tc>
          <w:tcPr>
            <w:tcW w:w="1525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3A">
              <w:rPr>
                <w:rFonts w:ascii="Times New Roman" w:hAnsi="Times New Roman" w:cs="Times New Roman"/>
                <w:sz w:val="24"/>
                <w:szCs w:val="24"/>
              </w:rPr>
              <w:t>(h)(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4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90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The net air quality benefit obtained from the case-by-case RACT determination shall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not include the reduction in potential emissions of NOx associated with any proposed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limitation requested in accordance with subdivision (5) of this subsection.</w:t>
            </w:r>
          </w:p>
        </w:tc>
        <w:tc>
          <w:tcPr>
            <w:tcW w:w="5400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99" w:rsidRPr="006C4B3A" w:rsidTr="003F05E9">
        <w:trPr>
          <w:trHeight w:val="710"/>
          <w:jc w:val="center"/>
        </w:trPr>
        <w:tc>
          <w:tcPr>
            <w:tcW w:w="1525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3A">
              <w:rPr>
                <w:rFonts w:ascii="Times New Roman" w:hAnsi="Times New Roman" w:cs="Times New Roman"/>
                <w:sz w:val="24"/>
                <w:szCs w:val="24"/>
              </w:rPr>
              <w:t>(h)(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6390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Publish notice of such request in a newspaper of general circulation in the area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which the emission unit operates</w:t>
            </w:r>
          </w:p>
        </w:tc>
        <w:tc>
          <w:tcPr>
            <w:tcW w:w="5400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99" w:rsidRPr="006C4B3A" w:rsidTr="003F05E9">
        <w:trPr>
          <w:trHeight w:val="620"/>
          <w:jc w:val="center"/>
        </w:trPr>
        <w:tc>
          <w:tcPr>
            <w:tcW w:w="1525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3A">
              <w:rPr>
                <w:rFonts w:ascii="Times New Roman" w:hAnsi="Times New Roman" w:cs="Times New Roman"/>
                <w:sz w:val="24"/>
                <w:szCs w:val="24"/>
              </w:rPr>
              <w:t>(h)(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6390" w:type="dxa"/>
            <w:vAlign w:val="center"/>
          </w:tcPr>
          <w:p w:rsidR="002E5499" w:rsidRPr="006C4B3A" w:rsidRDefault="002E5499" w:rsidP="002E5499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Notify the chief elected official of the municipality in which the emission unit that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is the subject of the request is located.</w:t>
            </w:r>
          </w:p>
        </w:tc>
        <w:tc>
          <w:tcPr>
            <w:tcW w:w="5400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99" w:rsidRPr="006C4B3A" w:rsidTr="003F05E9">
        <w:trPr>
          <w:trHeight w:val="1790"/>
          <w:jc w:val="center"/>
        </w:trPr>
        <w:tc>
          <w:tcPr>
            <w:tcW w:w="1525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3A">
              <w:rPr>
                <w:rFonts w:ascii="Times New Roman" w:hAnsi="Times New Roman" w:cs="Times New Roman"/>
                <w:sz w:val="24"/>
                <w:szCs w:val="24"/>
              </w:rPr>
              <w:t>(h)(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C4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90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The owner or operator shall include a copy of the notice as it appeared in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newspaper in the submission to the commissioner of the case-by-case RACT demonstration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and a signed statement certifying that the owner or operator notified the chief elected official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of the municipality in which the emission unit that is the subject of the request is located.</w:t>
            </w:r>
          </w:p>
        </w:tc>
        <w:tc>
          <w:tcPr>
            <w:tcW w:w="5400" w:type="dxa"/>
            <w:vAlign w:val="center"/>
          </w:tcPr>
          <w:p w:rsidR="002E5499" w:rsidRPr="006C4B3A" w:rsidRDefault="002E5499" w:rsidP="002E549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99" w:rsidRPr="006C4B3A" w:rsidTr="003F05E9">
        <w:trPr>
          <w:trHeight w:val="755"/>
          <w:jc w:val="center"/>
        </w:trPr>
        <w:tc>
          <w:tcPr>
            <w:tcW w:w="1525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3A">
              <w:rPr>
                <w:rFonts w:ascii="Times New Roman" w:hAnsi="Times New Roman" w:cs="Times New Roman"/>
                <w:sz w:val="24"/>
                <w:szCs w:val="24"/>
              </w:rPr>
              <w:t>(h)(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C4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90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 xml:space="preserve">old an informational hearing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 xml:space="preserve"> explain the purpose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of and basis for the request, if a reque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 to hold such hearing is made.</w:t>
            </w:r>
          </w:p>
        </w:tc>
        <w:tc>
          <w:tcPr>
            <w:tcW w:w="5400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99" w:rsidRPr="006C4B3A" w:rsidTr="003F05E9">
        <w:trPr>
          <w:trHeight w:val="395"/>
          <w:jc w:val="center"/>
        </w:trPr>
        <w:tc>
          <w:tcPr>
            <w:tcW w:w="1525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3A">
              <w:rPr>
                <w:rFonts w:ascii="Times New Roman" w:hAnsi="Times New Roman" w:cs="Times New Roman"/>
                <w:sz w:val="24"/>
                <w:szCs w:val="24"/>
              </w:rPr>
              <w:t>(h)(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C4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90" w:type="dxa"/>
            <w:vAlign w:val="center"/>
          </w:tcPr>
          <w:p w:rsidR="002E5499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notice must include:</w:t>
            </w:r>
          </w:p>
        </w:tc>
        <w:tc>
          <w:tcPr>
            <w:tcW w:w="5400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99" w:rsidRPr="006C4B3A" w:rsidTr="003F05E9">
        <w:trPr>
          <w:trHeight w:val="1187"/>
          <w:jc w:val="center"/>
        </w:trPr>
        <w:tc>
          <w:tcPr>
            <w:tcW w:w="1525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3A">
              <w:rPr>
                <w:rFonts w:ascii="Times New Roman" w:hAnsi="Times New Roman" w:cs="Times New Roman"/>
                <w:sz w:val="24"/>
                <w:szCs w:val="24"/>
              </w:rPr>
              <w:t>(h)(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C4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6390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 xml:space="preserve"> description of the demonstration sufficient for an interested person to understand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 xml:space="preserve">the technical and economic basis for the elements of the demonstration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included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 xml:space="preserve"> the emission rate request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 and the subsection (d) emissions limit.</w:t>
            </w:r>
          </w:p>
        </w:tc>
        <w:tc>
          <w:tcPr>
            <w:tcW w:w="5400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99" w:rsidRPr="006C4B3A" w:rsidTr="003F05E9">
        <w:trPr>
          <w:trHeight w:val="1790"/>
          <w:jc w:val="center"/>
        </w:trPr>
        <w:tc>
          <w:tcPr>
            <w:tcW w:w="1525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3A">
              <w:rPr>
                <w:rFonts w:ascii="Times New Roman" w:hAnsi="Times New Roman" w:cs="Times New Roman"/>
                <w:sz w:val="24"/>
                <w:szCs w:val="24"/>
              </w:rPr>
              <w:t>(h)(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C4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6390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Identification of the name of the owner or operator; a description of the emission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unit to which the demonstration applies including the make and model, capacity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purpose; the location of the emission unit; and the name, address and telephone number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a person from whom more information about the demonstration may be obtained;</w:t>
            </w:r>
          </w:p>
        </w:tc>
        <w:tc>
          <w:tcPr>
            <w:tcW w:w="5400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99" w:rsidRPr="006C4B3A" w:rsidTr="003F05E9">
        <w:trPr>
          <w:trHeight w:val="872"/>
          <w:jc w:val="center"/>
        </w:trPr>
        <w:tc>
          <w:tcPr>
            <w:tcW w:w="1525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(h)(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C4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6390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The name, telephone number and electronic mail address of an individual from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whom an interested person may obtain a copy of the demonstration;</w:t>
            </w:r>
          </w:p>
        </w:tc>
        <w:tc>
          <w:tcPr>
            <w:tcW w:w="5400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99" w:rsidRPr="006C4B3A" w:rsidTr="003F05E9">
        <w:trPr>
          <w:trHeight w:val="1430"/>
          <w:jc w:val="center"/>
        </w:trPr>
        <w:tc>
          <w:tcPr>
            <w:tcW w:w="1525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3A">
              <w:rPr>
                <w:rFonts w:ascii="Times New Roman" w:hAnsi="Times New Roman" w:cs="Times New Roman"/>
                <w:sz w:val="24"/>
                <w:szCs w:val="24"/>
              </w:rPr>
              <w:t>(h)(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C4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6390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The date, time and location of the public informational hearing to be held, if 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request for such hearing is submitted by any member of the public within 14 days of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date of publication of the notice, and the address for the public to send a request for such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hearing;</w:t>
            </w:r>
          </w:p>
        </w:tc>
        <w:tc>
          <w:tcPr>
            <w:tcW w:w="5400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99" w:rsidRPr="006C4B3A" w:rsidTr="003F05E9">
        <w:trPr>
          <w:trHeight w:val="2150"/>
          <w:jc w:val="center"/>
        </w:trPr>
        <w:tc>
          <w:tcPr>
            <w:tcW w:w="1525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B3A">
              <w:rPr>
                <w:rFonts w:ascii="Times New Roman" w:hAnsi="Times New Roman" w:cs="Times New Roman"/>
                <w:sz w:val="24"/>
                <w:szCs w:val="24"/>
              </w:rPr>
              <w:t>(h)(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C4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6390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Indication that if no request for the informational hearing is made by a member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the public to the owner or operator by the date designated in the notice that such hearing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will not occur and specification for the method and time for announcing that the hearing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has been cancelled and a telephone number for the public to call to determine if the public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312">
              <w:rPr>
                <w:rFonts w:ascii="Times New Roman" w:hAnsi="Times New Roman" w:cs="Times New Roman"/>
                <w:sz w:val="24"/>
                <w:szCs w:val="24"/>
              </w:rPr>
              <w:t>hearing will occur as noticed or is cancelled.</w:t>
            </w:r>
          </w:p>
        </w:tc>
        <w:tc>
          <w:tcPr>
            <w:tcW w:w="5400" w:type="dxa"/>
            <w:vAlign w:val="center"/>
          </w:tcPr>
          <w:p w:rsidR="002E5499" w:rsidRPr="006C4B3A" w:rsidRDefault="002E5499" w:rsidP="002E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499" w:rsidRPr="006C4B3A" w:rsidRDefault="002E5499">
      <w:pPr>
        <w:rPr>
          <w:rFonts w:ascii="Times New Roman" w:hAnsi="Times New Roman" w:cs="Times New Roman"/>
          <w:sz w:val="24"/>
          <w:szCs w:val="24"/>
        </w:rPr>
      </w:pPr>
    </w:p>
    <w:sectPr w:rsidR="002E5499" w:rsidRPr="006C4B3A" w:rsidSect="00261E08">
      <w:footerReference w:type="default" r:id="rId8"/>
      <w:pgSz w:w="15840" w:h="12240" w:orient="landscape"/>
      <w:pgMar w:top="90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B9D" w:rsidRDefault="00501B9D" w:rsidP="00501B9D">
      <w:pPr>
        <w:spacing w:after="0" w:line="240" w:lineRule="auto"/>
      </w:pPr>
      <w:r>
        <w:separator/>
      </w:r>
    </w:p>
  </w:endnote>
  <w:endnote w:type="continuationSeparator" w:id="0">
    <w:p w:rsidR="00501B9D" w:rsidRDefault="00501B9D" w:rsidP="0050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8243721"/>
      <w:docPartObj>
        <w:docPartGallery w:val="Page Numbers (Bottom of Page)"/>
        <w:docPartUnique/>
      </w:docPartObj>
    </w:sdtPr>
    <w:sdtEndPr/>
    <w:sdtContent>
      <w:sdt>
        <w:sdtPr>
          <w:id w:val="-1313870874"/>
          <w:docPartObj>
            <w:docPartGallery w:val="Page Numbers (Top of Page)"/>
            <w:docPartUnique/>
          </w:docPartObj>
        </w:sdtPr>
        <w:sdtEndPr/>
        <w:sdtContent>
          <w:p w:rsidR="00501B9D" w:rsidRDefault="00501B9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006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006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1B9D" w:rsidRDefault="00501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B9D" w:rsidRDefault="00501B9D" w:rsidP="00501B9D">
      <w:pPr>
        <w:spacing w:after="0" w:line="240" w:lineRule="auto"/>
      </w:pPr>
      <w:r>
        <w:separator/>
      </w:r>
    </w:p>
  </w:footnote>
  <w:footnote w:type="continuationSeparator" w:id="0">
    <w:p w:rsidR="00501B9D" w:rsidRDefault="00501B9D" w:rsidP="00501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1598F"/>
    <w:multiLevelType w:val="hybridMultilevel"/>
    <w:tmpl w:val="1928922A"/>
    <w:lvl w:ilvl="0" w:tplc="6114C4B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B5"/>
    <w:rsid w:val="00011D0E"/>
    <w:rsid w:val="000257AB"/>
    <w:rsid w:val="000B47CA"/>
    <w:rsid w:val="00142A34"/>
    <w:rsid w:val="00261E08"/>
    <w:rsid w:val="002E5499"/>
    <w:rsid w:val="003F05E9"/>
    <w:rsid w:val="004359EB"/>
    <w:rsid w:val="00465094"/>
    <w:rsid w:val="00490067"/>
    <w:rsid w:val="00501B9D"/>
    <w:rsid w:val="00504079"/>
    <w:rsid w:val="00643FE1"/>
    <w:rsid w:val="006601EC"/>
    <w:rsid w:val="006C1939"/>
    <w:rsid w:val="006C4B3A"/>
    <w:rsid w:val="00750DA9"/>
    <w:rsid w:val="00830953"/>
    <w:rsid w:val="008334DB"/>
    <w:rsid w:val="008C7CBB"/>
    <w:rsid w:val="008F4740"/>
    <w:rsid w:val="00982B37"/>
    <w:rsid w:val="00984688"/>
    <w:rsid w:val="009B5472"/>
    <w:rsid w:val="009D37FB"/>
    <w:rsid w:val="00A06648"/>
    <w:rsid w:val="00A15B35"/>
    <w:rsid w:val="00A86E18"/>
    <w:rsid w:val="00AA660E"/>
    <w:rsid w:val="00B17C61"/>
    <w:rsid w:val="00B86014"/>
    <w:rsid w:val="00BF5E48"/>
    <w:rsid w:val="00BF7595"/>
    <w:rsid w:val="00C026AC"/>
    <w:rsid w:val="00C60936"/>
    <w:rsid w:val="00C953B5"/>
    <w:rsid w:val="00CB7EBB"/>
    <w:rsid w:val="00D05020"/>
    <w:rsid w:val="00D14058"/>
    <w:rsid w:val="00D27A34"/>
    <w:rsid w:val="00D62B6E"/>
    <w:rsid w:val="00DA5B07"/>
    <w:rsid w:val="00DD6D2D"/>
    <w:rsid w:val="00DD721D"/>
    <w:rsid w:val="00E156BE"/>
    <w:rsid w:val="00E1702B"/>
    <w:rsid w:val="00EC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0AEECD4"/>
  <w15:chartTrackingRefBased/>
  <w15:docId w15:val="{A045CD8A-5BE3-4F54-926A-E655EBF9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4B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B9D"/>
  </w:style>
  <w:style w:type="paragraph" w:styleId="Footer">
    <w:name w:val="footer"/>
    <w:basedOn w:val="Normal"/>
    <w:link w:val="FooterChar"/>
    <w:uiPriority w:val="99"/>
    <w:unhideWhenUsed/>
    <w:rsid w:val="00501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B9D"/>
  </w:style>
  <w:style w:type="paragraph" w:styleId="BalloonText">
    <w:name w:val="Balloon Text"/>
    <w:basedOn w:val="Normal"/>
    <w:link w:val="BalloonTextChar"/>
    <w:uiPriority w:val="99"/>
    <w:semiHidden/>
    <w:unhideWhenUsed/>
    <w:rsid w:val="00501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B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06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rtal.ct.gov/DEEP/Air/Compliance-Assurance/Air-Compliance-Assurance---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DEEP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Baena</dc:creator>
  <cp:keywords/>
  <dc:description/>
  <cp:lastModifiedBy>Robin Baena</cp:lastModifiedBy>
  <cp:revision>5</cp:revision>
  <cp:lastPrinted>2019-05-20T19:42:00Z</cp:lastPrinted>
  <dcterms:created xsi:type="dcterms:W3CDTF">2020-01-15T12:22:00Z</dcterms:created>
  <dcterms:modified xsi:type="dcterms:W3CDTF">2020-08-21T13:36:00Z</dcterms:modified>
</cp:coreProperties>
</file>